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  <w:bookmarkStart w:id="0" w:name="_GoBack"/>
      <w:bookmarkEnd w:id="0"/>
      <w:proofErr w:type="gramStart"/>
      <w:r w:rsidRPr="0009202A">
        <w:rPr>
          <w:rFonts w:asciiTheme="majorHAnsi" w:eastAsiaTheme="majorHAnsi" w:hAnsiTheme="majorHAnsi" w:hint="eastAsia"/>
          <w:b/>
          <w:sz w:val="22"/>
        </w:rPr>
        <w:t>&lt; Table 1.</w:t>
      </w:r>
      <w:proofErr w:type="gramEnd"/>
      <w:r w:rsidRPr="0009202A">
        <w:rPr>
          <w:rFonts w:asciiTheme="majorHAnsi" w:eastAsiaTheme="majorHAnsi" w:hAnsiTheme="majorHAnsi" w:hint="eastAsia"/>
          <w:b/>
          <w:sz w:val="22"/>
        </w:rPr>
        <w:t xml:space="preserve"> Patient Characteristics 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1"/>
        <w:gridCol w:w="2931"/>
        <w:gridCol w:w="2150"/>
      </w:tblGrid>
      <w:tr w:rsidR="00306781" w:rsidRPr="0009202A" w:rsidTr="0042221A">
        <w:tc>
          <w:tcPr>
            <w:tcW w:w="4762" w:type="dxa"/>
            <w:gridSpan w:val="2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Total 67명</w:t>
            </w:r>
          </w:p>
        </w:tc>
      </w:tr>
      <w:tr w:rsidR="00306781" w:rsidRPr="0009202A" w:rsidTr="00281B3A">
        <w:tc>
          <w:tcPr>
            <w:tcW w:w="4762" w:type="dxa"/>
            <w:gridSpan w:val="2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Mean age (years)</w:t>
            </w:r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62.2 (</w:t>
            </w:r>
            <w:r w:rsidRPr="0009202A">
              <w:rPr>
                <w:rFonts w:asciiTheme="majorHAnsi" w:eastAsiaTheme="majorHAnsi" w:hAnsiTheme="majorHAnsi"/>
                <w:b/>
                <w:sz w:val="22"/>
              </w:rPr>
              <w:t>±</w:t>
            </w: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7.9)</w:t>
            </w:r>
          </w:p>
        </w:tc>
      </w:tr>
      <w:tr w:rsidR="0009202A" w:rsidRPr="0009202A" w:rsidTr="00CD3403">
        <w:tc>
          <w:tcPr>
            <w:tcW w:w="1831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Gender</w:t>
            </w: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Female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7 (10.4%)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Male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60 (89.6%)</w:t>
            </w:r>
          </w:p>
        </w:tc>
      </w:tr>
      <w:tr w:rsidR="00306781" w:rsidRPr="0009202A" w:rsidTr="00EB09E8">
        <w:tc>
          <w:tcPr>
            <w:tcW w:w="4762" w:type="dxa"/>
            <w:gridSpan w:val="2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BMI(mean)</w:t>
            </w:r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22.4 (</w:t>
            </w:r>
            <w:r w:rsidRPr="0009202A">
              <w:rPr>
                <w:rFonts w:asciiTheme="majorHAnsi" w:eastAsiaTheme="majorHAnsi" w:hAnsiTheme="majorHAnsi"/>
                <w:b/>
                <w:sz w:val="22"/>
              </w:rPr>
              <w:t>±</w:t>
            </w: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3.2)</w:t>
            </w:r>
          </w:p>
        </w:tc>
      </w:tr>
      <w:tr w:rsidR="00306781" w:rsidRPr="0009202A" w:rsidTr="003967D8">
        <w:tc>
          <w:tcPr>
            <w:tcW w:w="4762" w:type="dxa"/>
            <w:gridSpan w:val="2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FEV1% (mean)</w:t>
            </w:r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95.2 (</w:t>
            </w:r>
            <w:r w:rsidRPr="0009202A">
              <w:rPr>
                <w:rFonts w:asciiTheme="majorHAnsi" w:eastAsiaTheme="majorHAnsi" w:hAnsiTheme="majorHAnsi"/>
                <w:b/>
                <w:sz w:val="22"/>
              </w:rPr>
              <w:t>±</w:t>
            </w: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16.5)</w:t>
            </w:r>
          </w:p>
        </w:tc>
      </w:tr>
      <w:tr w:rsidR="0009202A" w:rsidRPr="0009202A" w:rsidTr="00CD3403">
        <w:tc>
          <w:tcPr>
            <w:tcW w:w="1831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Smoking</w:t>
            </w: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non-smoker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10 (14.9%)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ex-smoker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25 (37.3%)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current smoker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32 (47.8%)</w:t>
            </w:r>
          </w:p>
        </w:tc>
      </w:tr>
      <w:tr w:rsidR="00306781" w:rsidRPr="0009202A" w:rsidTr="00651802">
        <w:tc>
          <w:tcPr>
            <w:tcW w:w="4762" w:type="dxa"/>
            <w:gridSpan w:val="2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Smoking (Pack-Year, mean)</w:t>
            </w:r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32.2 (</w:t>
            </w:r>
            <w:r w:rsidRPr="0009202A">
              <w:rPr>
                <w:rFonts w:asciiTheme="majorHAnsi" w:eastAsiaTheme="majorHAnsi" w:hAnsiTheme="majorHAnsi"/>
                <w:b/>
                <w:sz w:val="22"/>
              </w:rPr>
              <w:t>±</w:t>
            </w: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18.0)</w:t>
            </w:r>
          </w:p>
        </w:tc>
      </w:tr>
      <w:tr w:rsidR="0009202A" w:rsidRPr="0009202A" w:rsidTr="00CD3403">
        <w:tc>
          <w:tcPr>
            <w:tcW w:w="1831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ASA score</w:t>
            </w: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31 (46.3%)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2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29 (43.3%)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17 (25.4%)</w:t>
            </w:r>
          </w:p>
        </w:tc>
      </w:tr>
      <w:tr w:rsidR="0009202A" w:rsidRPr="0009202A" w:rsidTr="00CD3403">
        <w:tc>
          <w:tcPr>
            <w:tcW w:w="1831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Rationale for colon interposition</w:t>
            </w: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Previous gastrectomy for gastric ulcer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9 (13.4%)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Previous gastrectomy for gastric cancer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19 (28.4%)</w:t>
            </w:r>
          </w:p>
        </w:tc>
      </w:tr>
      <w:tr w:rsidR="0009202A" w:rsidRPr="0009202A" w:rsidTr="00CD3403"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Synchronous gastric cancer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26 (38.8%)</w:t>
            </w:r>
          </w:p>
        </w:tc>
      </w:tr>
      <w:tr w:rsidR="0009202A" w:rsidRPr="0009202A" w:rsidTr="00CD3403">
        <w:trPr>
          <w:trHeight w:val="702"/>
        </w:trPr>
        <w:tc>
          <w:tcPr>
            <w:tcW w:w="1831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Gastroesophageal junction cancer</w:t>
            </w:r>
          </w:p>
        </w:tc>
        <w:tc>
          <w:tcPr>
            <w:tcW w:w="215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13 (19.4%)</w:t>
            </w:r>
          </w:p>
        </w:tc>
      </w:tr>
      <w:tr w:rsidR="00306781" w:rsidRPr="0009202A" w:rsidTr="00CD3403">
        <w:tc>
          <w:tcPr>
            <w:tcW w:w="1831" w:type="dxa"/>
            <w:vMerge w:val="restart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Neoadjuvant treatment</w:t>
            </w:r>
          </w:p>
        </w:tc>
        <w:tc>
          <w:tcPr>
            <w:tcW w:w="2931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None</w:t>
            </w:r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52 (77.6%)</w:t>
            </w:r>
          </w:p>
        </w:tc>
      </w:tr>
      <w:tr w:rsidR="00306781" w:rsidRPr="0009202A" w:rsidTr="00CD3403">
        <w:tc>
          <w:tcPr>
            <w:tcW w:w="1831" w:type="dxa"/>
            <w:vMerge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Chemotherpy</w:t>
            </w:r>
            <w:proofErr w:type="spellEnd"/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 (4.5%)</w:t>
            </w:r>
          </w:p>
        </w:tc>
      </w:tr>
      <w:tr w:rsidR="00306781" w:rsidRPr="0009202A" w:rsidTr="00CD3403">
        <w:tc>
          <w:tcPr>
            <w:tcW w:w="1831" w:type="dxa"/>
            <w:vMerge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31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Chemoradiotherapy</w:t>
            </w:r>
            <w:proofErr w:type="spellEnd"/>
          </w:p>
        </w:tc>
        <w:tc>
          <w:tcPr>
            <w:tcW w:w="215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12 (17.9%)</w:t>
            </w:r>
          </w:p>
        </w:tc>
      </w:tr>
    </w:tbl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306781" w:rsidRDefault="00306781" w:rsidP="0009202A">
      <w:pPr>
        <w:rPr>
          <w:rFonts w:asciiTheme="majorHAnsi" w:eastAsiaTheme="majorHAnsi" w:hAnsiTheme="majorHAnsi"/>
          <w:b/>
          <w:sz w:val="22"/>
        </w:rPr>
      </w:pPr>
    </w:p>
    <w:p w:rsidR="00306781" w:rsidRDefault="00306781" w:rsidP="0009202A">
      <w:pPr>
        <w:rPr>
          <w:rFonts w:asciiTheme="majorHAnsi" w:eastAsiaTheme="majorHAnsi" w:hAnsiTheme="majorHAnsi"/>
          <w:b/>
          <w:sz w:val="22"/>
        </w:rPr>
      </w:pPr>
    </w:p>
    <w:p w:rsidR="00306781" w:rsidRPr="0009202A" w:rsidRDefault="00306781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  <w:proofErr w:type="gramStart"/>
      <w:r w:rsidRPr="0009202A">
        <w:rPr>
          <w:rFonts w:asciiTheme="majorHAnsi" w:eastAsiaTheme="majorHAnsi" w:hAnsiTheme="majorHAnsi" w:hint="eastAsia"/>
          <w:b/>
          <w:sz w:val="22"/>
        </w:rPr>
        <w:lastRenderedPageBreak/>
        <w:t>&lt; Table 2.</w:t>
      </w:r>
      <w:proofErr w:type="gramEnd"/>
      <w:r w:rsidRPr="0009202A">
        <w:rPr>
          <w:rFonts w:asciiTheme="majorHAnsi" w:eastAsiaTheme="majorHAnsi" w:hAnsiTheme="majorHAnsi" w:hint="eastAsia"/>
          <w:b/>
          <w:sz w:val="22"/>
        </w:rPr>
        <w:t xml:space="preserve"> Operative Data 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2942"/>
        <w:gridCol w:w="3260"/>
      </w:tblGrid>
      <w:tr w:rsidR="00306781" w:rsidRPr="0009202A" w:rsidTr="00072179">
        <w:tc>
          <w:tcPr>
            <w:tcW w:w="4786" w:type="dxa"/>
            <w:gridSpan w:val="2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3260" w:type="dxa"/>
          </w:tcPr>
          <w:p w:rsidR="00306781" w:rsidRPr="0009202A" w:rsidRDefault="00306781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09202A" w:rsidRPr="0009202A" w:rsidTr="00CD3403">
        <w:tc>
          <w:tcPr>
            <w:tcW w:w="4786" w:type="dxa"/>
            <w:gridSpan w:val="2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Median anesthetic time (min)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510.0 (range; 310-675)</w:t>
            </w:r>
          </w:p>
        </w:tc>
      </w:tr>
      <w:tr w:rsidR="0009202A" w:rsidRPr="0009202A" w:rsidTr="00CD3403">
        <w:tc>
          <w:tcPr>
            <w:tcW w:w="4786" w:type="dxa"/>
            <w:gridSpan w:val="2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Median operative time (min)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425.0 (range; 230-640)</w:t>
            </w:r>
          </w:p>
        </w:tc>
      </w:tr>
      <w:tr w:rsidR="0009202A" w:rsidRPr="0009202A" w:rsidTr="00CD3403">
        <w:tc>
          <w:tcPr>
            <w:tcW w:w="1844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Colon</w:t>
            </w: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Left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64 (95.6%)</w:t>
            </w:r>
          </w:p>
        </w:tc>
      </w:tr>
      <w:tr w:rsidR="0009202A" w:rsidRPr="0009202A" w:rsidTr="00CD3403">
        <w:tc>
          <w:tcPr>
            <w:tcW w:w="1844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Right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 (4.4%)</w:t>
            </w:r>
          </w:p>
        </w:tc>
      </w:tr>
      <w:tr w:rsidR="0009202A" w:rsidRPr="0009202A" w:rsidTr="00CD3403">
        <w:tc>
          <w:tcPr>
            <w:tcW w:w="1844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Route</w:t>
            </w: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Posterior mediastinal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66</w:t>
            </w:r>
          </w:p>
        </w:tc>
      </w:tr>
      <w:tr w:rsidR="0009202A" w:rsidRPr="0009202A" w:rsidTr="00CD3403">
        <w:tc>
          <w:tcPr>
            <w:tcW w:w="1844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Substernal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 (</w:t>
            </w: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Sarcomatoid</w:t>
            </w:r>
            <w:proofErr w:type="spellEnd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 xml:space="preserve"> carcinoma로 </w:t>
            </w: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RTx</w:t>
            </w:r>
            <w:proofErr w:type="spellEnd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. 가능성 및 재발 가능성 대비하여 substernal route 사용.)</w:t>
            </w:r>
          </w:p>
        </w:tc>
      </w:tr>
      <w:tr w:rsidR="0009202A" w:rsidRPr="0009202A" w:rsidTr="00CD3403">
        <w:tc>
          <w:tcPr>
            <w:tcW w:w="1844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Lymph node dissection</w:t>
            </w: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Two-field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66</w:t>
            </w:r>
          </w:p>
        </w:tc>
      </w:tr>
      <w:tr w:rsidR="0009202A" w:rsidRPr="0009202A" w:rsidTr="00CD3403">
        <w:tc>
          <w:tcPr>
            <w:tcW w:w="1844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Three-field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</w:t>
            </w:r>
          </w:p>
        </w:tc>
      </w:tr>
      <w:tr w:rsidR="0009202A" w:rsidRPr="0009202A" w:rsidTr="00CD3403">
        <w:tc>
          <w:tcPr>
            <w:tcW w:w="1844" w:type="dxa"/>
            <w:vMerge w:val="restart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Anastomosis level</w:t>
            </w: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Cervical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11 (16.4%)</w:t>
            </w:r>
          </w:p>
        </w:tc>
      </w:tr>
      <w:tr w:rsidR="0009202A" w:rsidRPr="0009202A" w:rsidTr="00CD3403">
        <w:tc>
          <w:tcPr>
            <w:tcW w:w="1844" w:type="dxa"/>
            <w:vMerge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94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Upper thoracic</w:t>
            </w:r>
          </w:p>
        </w:tc>
        <w:tc>
          <w:tcPr>
            <w:tcW w:w="3260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56 (83.6%)</w:t>
            </w:r>
          </w:p>
        </w:tc>
      </w:tr>
    </w:tbl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  <w:proofErr w:type="gramStart"/>
      <w:r w:rsidRPr="0009202A">
        <w:rPr>
          <w:rFonts w:asciiTheme="majorHAnsi" w:eastAsiaTheme="majorHAnsi" w:hAnsiTheme="majorHAnsi" w:hint="eastAsia"/>
          <w:b/>
          <w:sz w:val="22"/>
        </w:rPr>
        <w:t>&lt; Table 3.</w:t>
      </w:r>
      <w:proofErr w:type="gramEnd"/>
      <w:r w:rsidRPr="0009202A">
        <w:rPr>
          <w:rFonts w:asciiTheme="majorHAnsi" w:eastAsiaTheme="majorHAnsi" w:hAnsiTheme="majorHAnsi" w:hint="eastAsia"/>
          <w:b/>
          <w:sz w:val="22"/>
        </w:rPr>
        <w:t xml:space="preserve"> Operative Outcomes 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827"/>
      </w:tblGrid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Follow-up duration (month, median)</w:t>
            </w: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44 (range; 1-168)</w:t>
            </w:r>
          </w:p>
        </w:tc>
      </w:tr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Hospital stay (day, median)</w:t>
            </w: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15 (range; 10-133)</w:t>
            </w:r>
          </w:p>
        </w:tc>
      </w:tr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30-day mortality</w:t>
            </w: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2 (3.0%)</w:t>
            </w:r>
          </w:p>
        </w:tc>
      </w:tr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Median Survival (month)</w:t>
            </w: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63 (range; 1-168, 95% CI 36.8-89.2)</w:t>
            </w:r>
          </w:p>
        </w:tc>
      </w:tr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3-year survival</w:t>
            </w: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61.6%</w:t>
            </w:r>
          </w:p>
        </w:tc>
      </w:tr>
      <w:tr w:rsidR="0009202A" w:rsidRPr="0009202A" w:rsidTr="00CD3403">
        <w:tc>
          <w:tcPr>
            <w:tcW w:w="3794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5-year survival</w:t>
            </w:r>
          </w:p>
        </w:tc>
        <w:tc>
          <w:tcPr>
            <w:tcW w:w="3827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49.4%</w:t>
            </w:r>
          </w:p>
        </w:tc>
      </w:tr>
    </w:tbl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  <w:proofErr w:type="gramStart"/>
      <w:r w:rsidRPr="0009202A">
        <w:rPr>
          <w:rFonts w:asciiTheme="majorHAnsi" w:eastAsiaTheme="majorHAnsi" w:hAnsiTheme="majorHAnsi" w:hint="eastAsia"/>
          <w:b/>
          <w:sz w:val="22"/>
        </w:rPr>
        <w:lastRenderedPageBreak/>
        <w:t>&lt; Table 4.</w:t>
      </w:r>
      <w:proofErr w:type="gramEnd"/>
      <w:r w:rsidRPr="0009202A">
        <w:rPr>
          <w:rFonts w:asciiTheme="majorHAnsi" w:eastAsiaTheme="majorHAnsi" w:hAnsiTheme="majorHAnsi" w:hint="eastAsia"/>
          <w:b/>
          <w:sz w:val="22"/>
        </w:rPr>
        <w:t xml:space="preserve"> Early Complications 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</w:tblGrid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 xml:space="preserve">Cardiac </w:t>
            </w: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Cx</w:t>
            </w:r>
            <w:proofErr w:type="spellEnd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.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 (4.5%)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 xml:space="preserve">Pulmonary </w:t>
            </w: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Cx</w:t>
            </w:r>
            <w:proofErr w:type="spellEnd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.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18 (26.9%)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Pneumonia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15 (22.4%)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Leakage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13 (19.4%)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Vocal cord palsy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10 (14.9%)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Aspiration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10 (14.9%)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Mechanical ileus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10 (14.9%)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 xml:space="preserve">Wound </w:t>
            </w:r>
            <w:proofErr w:type="spellStart"/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Cx</w:t>
            </w:r>
            <w:proofErr w:type="spellEnd"/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10 (14.9%)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Graft necrosis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3 (4.5%)</w:t>
            </w:r>
          </w:p>
        </w:tc>
      </w:tr>
    </w:tbl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  <w:proofErr w:type="gramStart"/>
      <w:r w:rsidRPr="0009202A">
        <w:rPr>
          <w:rFonts w:asciiTheme="majorHAnsi" w:eastAsiaTheme="majorHAnsi" w:hAnsiTheme="majorHAnsi" w:hint="eastAsia"/>
          <w:b/>
          <w:sz w:val="22"/>
        </w:rPr>
        <w:t>&lt; Table 5.</w:t>
      </w:r>
      <w:proofErr w:type="gramEnd"/>
      <w:r w:rsidRPr="0009202A">
        <w:rPr>
          <w:rFonts w:asciiTheme="majorHAnsi" w:eastAsiaTheme="majorHAnsi" w:hAnsiTheme="majorHAnsi" w:hint="eastAsia"/>
          <w:b/>
          <w:sz w:val="22"/>
        </w:rPr>
        <w:t xml:space="preserve"> Late Complications 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552"/>
      </w:tblGrid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총 54명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Dysphagia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19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Reflux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16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Stricture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9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Diarrhea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10</w:t>
            </w:r>
          </w:p>
        </w:tc>
      </w:tr>
      <w:tr w:rsidR="0009202A" w:rsidRPr="0009202A" w:rsidTr="00CD3403">
        <w:tc>
          <w:tcPr>
            <w:tcW w:w="2943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Dumping</w:t>
            </w:r>
          </w:p>
        </w:tc>
        <w:tc>
          <w:tcPr>
            <w:tcW w:w="2552" w:type="dxa"/>
          </w:tcPr>
          <w:p w:rsidR="0009202A" w:rsidRPr="0009202A" w:rsidRDefault="0009202A" w:rsidP="00CD3403">
            <w:pPr>
              <w:rPr>
                <w:rFonts w:asciiTheme="majorHAnsi" w:eastAsiaTheme="majorHAnsi" w:hAnsiTheme="majorHAnsi"/>
                <w:b/>
                <w:sz w:val="22"/>
              </w:rPr>
            </w:pPr>
            <w:r w:rsidRPr="0009202A">
              <w:rPr>
                <w:rFonts w:asciiTheme="majorHAnsi" w:eastAsiaTheme="majorHAnsi" w:hAnsiTheme="majorHAnsi" w:hint="eastAsia"/>
                <w:b/>
                <w:sz w:val="22"/>
              </w:rPr>
              <w:t>4</w:t>
            </w:r>
          </w:p>
        </w:tc>
      </w:tr>
    </w:tbl>
    <w:p w:rsidR="0009202A" w:rsidRPr="0009202A" w:rsidRDefault="0009202A" w:rsidP="0009202A">
      <w:pPr>
        <w:rPr>
          <w:rFonts w:asciiTheme="majorHAnsi" w:eastAsiaTheme="majorHAnsi" w:hAnsiTheme="majorHAnsi"/>
          <w:b/>
          <w:sz w:val="22"/>
        </w:rPr>
      </w:pPr>
    </w:p>
    <w:p w:rsidR="00313538" w:rsidRPr="0009202A" w:rsidRDefault="00313538">
      <w:pPr>
        <w:rPr>
          <w:rFonts w:asciiTheme="majorHAnsi" w:eastAsiaTheme="majorHAnsi" w:hAnsiTheme="majorHAnsi"/>
          <w:b/>
          <w:sz w:val="22"/>
        </w:rPr>
      </w:pPr>
    </w:p>
    <w:sectPr w:rsidR="00313538" w:rsidRPr="000920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FD" w:rsidRDefault="00FD5EFD" w:rsidP="00963FE3">
      <w:pPr>
        <w:spacing w:after="0" w:line="240" w:lineRule="auto"/>
      </w:pPr>
      <w:r>
        <w:separator/>
      </w:r>
    </w:p>
  </w:endnote>
  <w:endnote w:type="continuationSeparator" w:id="0">
    <w:p w:rsidR="00FD5EFD" w:rsidRDefault="00FD5EFD" w:rsidP="0096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FD" w:rsidRDefault="00FD5EFD" w:rsidP="00963FE3">
      <w:pPr>
        <w:spacing w:after="0" w:line="240" w:lineRule="auto"/>
      </w:pPr>
      <w:r>
        <w:separator/>
      </w:r>
    </w:p>
  </w:footnote>
  <w:footnote w:type="continuationSeparator" w:id="0">
    <w:p w:rsidR="00FD5EFD" w:rsidRDefault="00FD5EFD" w:rsidP="00963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2A"/>
    <w:rsid w:val="0009202A"/>
    <w:rsid w:val="00306781"/>
    <w:rsid w:val="00313538"/>
    <w:rsid w:val="00963FE3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56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3F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3FE3"/>
  </w:style>
  <w:style w:type="paragraph" w:styleId="a5">
    <w:name w:val="footer"/>
    <w:basedOn w:val="a"/>
    <w:link w:val="Char0"/>
    <w:uiPriority w:val="99"/>
    <w:unhideWhenUsed/>
    <w:rsid w:val="00963F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3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3F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3FE3"/>
  </w:style>
  <w:style w:type="paragraph" w:styleId="a5">
    <w:name w:val="footer"/>
    <w:basedOn w:val="a"/>
    <w:link w:val="Char0"/>
    <w:uiPriority w:val="99"/>
    <w:unhideWhenUsed/>
    <w:rsid w:val="00963F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2016-08-31T06:09:00Z</dcterms:created>
  <dcterms:modified xsi:type="dcterms:W3CDTF">2016-08-31T06:09:00Z</dcterms:modified>
</cp:coreProperties>
</file>